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0" w:name="tribunal-judicial-da-comarca-de-lisboa"/>
    <w:p>
      <w:pPr>
        <w:pStyle w:val="Heading2"/>
      </w:pPr>
      <w:r>
        <w:t xml:space="preserve">Tribunal Judicial da Comarca de Lisboa</w:t>
      </w:r>
    </w:p>
    <w:p>
      <w:pPr>
        <w:pStyle w:val="FirstParagraph"/>
      </w:pPr>
      <w:r>
        <w:rPr>
          <w:b/>
          <w:bCs/>
        </w:rPr>
        <w:t xml:space="preserve">Vara da Família e dos Menores</w:t>
      </w:r>
    </w:p>
    <w:p>
      <w:pPr>
        <w:pStyle w:val="BodyText"/>
      </w:pPr>
      <w:r>
        <w:rPr>
          <w:b/>
          <w:bCs/>
        </w:rPr>
        <w:t xml:space="preserve">Processo n.º 1234/2026</w:t>
      </w:r>
    </w:p>
    <w:p>
      <w:r>
        <w:pict>
          <v:rect style="width:0;height:1.5pt" o:hralign="center" o:hrstd="t" o:hr="t"/>
        </w:pict>
      </w:r>
    </w:p>
    <w:bookmarkStart w:id="9" w:name="X6d3089e7d23849b6640c77fe3a2c7d13ecfee4f"/>
    <w:p>
      <w:pPr>
        <w:pStyle w:val="Heading3"/>
      </w:pPr>
      <w:r>
        <w:rPr>
          <w:b/>
          <w:bCs/>
        </w:rPr>
        <w:t xml:space="preserve">Petição Inicial – Alteração da Regulação das Responsabilidades Parentais</w:t>
      </w:r>
    </w:p>
    <w:p>
      <w:pPr>
        <w:pStyle w:val="FirstParagraph"/>
      </w:pPr>
      <w:r>
        <w:rPr>
          <w:b/>
          <w:bCs/>
        </w:rPr>
        <w:t xml:space="preserve">Autor / Requerente:</w:t>
      </w:r>
      <w:r>
        <w:br/>
      </w:r>
      <w:r>
        <w:t xml:space="preserve">Maria da Conceição Silva, solteira, NIF 224 567 891, residente na Rua da Boa‑Hora, nº 12, 2.º B, 1150‑148 Lisboa, representada pelos seus mandatários</w:t>
      </w:r>
      <w:r>
        <w:t xml:space="preserve"> </w:t>
      </w:r>
      <w:r>
        <w:rPr>
          <w:b/>
          <w:bCs/>
        </w:rPr>
        <w:t xml:space="preserve">Dr. Ana Sofia Martins</w:t>
      </w:r>
      <w:r>
        <w:t xml:space="preserve">, OAB 12345, e</w:t>
      </w:r>
      <w:r>
        <w:t xml:space="preserve"> </w:t>
      </w:r>
      <w:r>
        <w:rPr>
          <w:b/>
          <w:bCs/>
        </w:rPr>
        <w:t xml:space="preserve">Dr. Luís Fernando Carvalho</w:t>
      </w:r>
      <w:r>
        <w:t xml:space="preserve">, OAB 67890, com escritório profissional na Avenida das Nações, nº 45, 3.º esq., 1990‑084 Lisboa.</w:t>
      </w:r>
    </w:p>
    <w:p>
      <w:pPr>
        <w:pStyle w:val="BodyText"/>
      </w:pPr>
      <w:r>
        <w:rPr>
          <w:b/>
          <w:bCs/>
        </w:rPr>
        <w:t xml:space="preserve">Réu / Requerido:</w:t>
      </w:r>
      <w:r>
        <w:br/>
      </w:r>
      <w:r>
        <w:t xml:space="preserve">José António Pereira, divorciado, NIF 317 452 106, residente na Rua da Estrela, nº 78, 1.º esq., 4000‑123 Porto.</w:t>
      </w:r>
    </w:p>
    <w:p>
      <w:pPr>
        <w:pStyle w:val="BodyText"/>
      </w:pPr>
      <w:r>
        <w:rPr>
          <w:b/>
          <w:bCs/>
        </w:rPr>
        <w:t xml:space="preserve">Menor:</w:t>
      </w:r>
      <w:r>
        <w:br/>
      </w:r>
      <w:r>
        <w:t xml:space="preserve">Ana Sofia Pereira, nascida a 10 de junho de 2018, natural de Lisboa, portadora do Cartão de Cidadão nº 12345678 9, residente atualmente com a mãe na mesma morada acima indicada.</w:t>
      </w:r>
    </w:p>
    <w:p>
      <w:pPr>
        <w:pStyle w:val="BodyText"/>
      </w:pPr>
      <w:r>
        <w:rPr>
          <w:b/>
          <w:bCs/>
        </w:rPr>
        <w:t xml:space="preserve">Juiz:</w:t>
      </w:r>
      <w:r>
        <w:br/>
      </w:r>
      <w:r>
        <w:t xml:space="preserve">Juiz de Direito da Vara da Família e dos Menores da Comarca de Lisboa.</w:t>
      </w:r>
    </w:p>
    <w:p>
      <w:r>
        <w:pict>
          <v:rect style="width:0;height:1.5pt" o:hralign="center" o:hrstd="t" o:hr="t"/>
        </w:pict>
      </w:r>
    </w:p>
    <w:bookmarkEnd w:id="9"/>
    <w:bookmarkEnd w:id="10"/>
    <w:bookmarkStart w:id="11" w:name="i.-exposição-dos-factos"/>
    <w:p>
      <w:pPr>
        <w:pStyle w:val="Heading2"/>
      </w:pPr>
      <w:r>
        <w:t xml:space="preserve">I. Exposição dos Factos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655"/>
        <w:gridCol w:w="426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Data</w:t>
            </w:r>
          </w:p>
        </w:tc>
        <w:tc>
          <w:tcPr/>
          <w:p>
            <w:pPr>
              <w:pStyle w:val="Compact"/>
            </w:pPr>
            <w:r>
              <w:t xml:space="preserve">Facto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15 de janeiro de 2024</w:t>
            </w:r>
          </w:p>
        </w:tc>
        <w:tc>
          <w:tcPr/>
          <w:p>
            <w:pPr>
              <w:pStyle w:val="Compact"/>
            </w:pPr>
            <w:r>
              <w:t xml:space="preserve">O casal, ainda casado, celebrou acordo de guarda compartilhada, fixando a residência da menor em Lisboa e estabelecendo regime de visitas quinzenais ao pai, com duração de 2 (duas) horas, sem supervisão.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30 de março de 2024</w:t>
            </w:r>
          </w:p>
        </w:tc>
        <w:tc>
          <w:tcPr/>
          <w:p>
            <w:pPr>
              <w:pStyle w:val="Compact"/>
            </w:pPr>
            <w:r>
              <w:t xml:space="preserve">O réu mudou‑se unilateralmente para a cidade de Braga, sem comunicação prévia à autora nem autorização judicial, alegando motivos profissionais.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12 de abril de 2024</w:t>
            </w:r>
          </w:p>
        </w:tc>
        <w:tc>
          <w:tcPr/>
          <w:p>
            <w:pPr>
              <w:pStyle w:val="Compact"/>
            </w:pPr>
            <w:r>
              <w:t xml:space="preserve">O réu deixou de cumprir o regime de visitas acordado, ausentando‑se das mesmas e, posteriormente, passou a contactar a menor apenas por telefone, sem qualquer acompanhamento presencial.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5 de maio de 2024</w:t>
            </w:r>
          </w:p>
        </w:tc>
        <w:tc>
          <w:tcPr/>
          <w:p>
            <w:pPr>
              <w:pStyle w:val="Compact"/>
            </w:pPr>
            <w:r>
              <w:t xml:space="preserve">A autora constatou alterações comportamentais na menor (pesadelos, regressão de hábitos de higiene e diminuição do rendimento escolar), tendo sido solicitado, por via de escola, um relatório psicossocial.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20 de maio de 2024</w:t>
            </w:r>
          </w:p>
        </w:tc>
        <w:tc>
          <w:tcPr/>
          <w:p>
            <w:pPr>
              <w:pStyle w:val="Compact"/>
            </w:pPr>
            <w:r>
              <w:t xml:space="preserve">Recebido o</w:t>
            </w:r>
            <w:r>
              <w:t xml:space="preserve"> </w:t>
            </w:r>
            <w:r>
              <w:rPr>
                <w:b/>
                <w:bCs/>
              </w:rPr>
              <w:t xml:space="preserve">Relatório Psicossocial</w:t>
            </w:r>
            <w:r>
              <w:t xml:space="preserve"> </w:t>
            </w:r>
            <w:r>
              <w:t xml:space="preserve">elaborado pela psicóloga da Escola Básica nº 23 de Lisboa, que conclui a existência de</w:t>
            </w:r>
            <w:r>
              <w:t xml:space="preserve"> </w:t>
            </w:r>
            <w:r>
              <w:rPr>
                <w:b/>
                <w:bCs/>
              </w:rPr>
              <w:t xml:space="preserve">instabilidade emocional</w:t>
            </w:r>
            <w:r>
              <w:t xml:space="preserve"> </w:t>
            </w:r>
            <w:r>
              <w:t xml:space="preserve">da menor, atribuída à ruptura de contacto regular com o pai e à mudança de residência do mesmo para outra cidade.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 de junho de 2024</w:t>
            </w:r>
          </w:p>
        </w:tc>
        <w:tc>
          <w:tcPr/>
          <w:p>
            <w:pPr>
              <w:pStyle w:val="Compact"/>
            </w:pPr>
            <w:r>
              <w:t xml:space="preserve">A autora notificou o réu, por carta registada com aviso de receção, requerendo a regularização do regime de visitas e a manutenção da residência da menor em Lisboa, sob pena de ação judicial.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15 de junho de 2024</w:t>
            </w:r>
          </w:p>
        </w:tc>
        <w:tc>
          <w:tcPr/>
          <w:p>
            <w:pPr>
              <w:pStyle w:val="Compact"/>
            </w:pPr>
            <w:r>
              <w:t xml:space="preserve">O réu não respondeu à notificação, mantendo‑se ausente das visitas e sem apresentar justificativo.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10 de julho de 2024</w:t>
            </w:r>
          </w:p>
        </w:tc>
        <w:tc>
          <w:tcPr/>
          <w:p>
            <w:pPr>
              <w:pStyle w:val="Compact"/>
            </w:pPr>
            <w:r>
              <w:t xml:space="preserve">A autora, amparada pelo parecer da psicóloga, decide requerer a</w:t>
            </w:r>
            <w:r>
              <w:t xml:space="preserve"> </w:t>
            </w:r>
            <w:r>
              <w:rPr>
                <w:b/>
                <w:bCs/>
              </w:rPr>
              <w:t xml:space="preserve">alteração da regulação das responsabilidades parentais</w:t>
            </w:r>
            <w:r>
              <w:t xml:space="preserve">, visando o melhor interesse da menor.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1"/>
    <w:bookmarkStart w:id="12" w:name="ii.-fundamentação-jurídica"/>
    <w:p>
      <w:pPr>
        <w:pStyle w:val="Heading2"/>
      </w:pPr>
      <w:r>
        <w:t xml:space="preserve">II. Fundamentação Jurídica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Constituição da República Portuguesa</w:t>
      </w:r>
    </w:p>
    <w:p>
      <w:pPr>
        <w:pStyle w:val="Compact"/>
        <w:numPr>
          <w:ilvl w:val="1"/>
          <w:numId w:val="1002"/>
        </w:numPr>
      </w:pPr>
      <w:r>
        <w:rPr>
          <w:b/>
          <w:bCs/>
        </w:rPr>
        <w:t xml:space="preserve">Artigo 13.º</w:t>
      </w:r>
      <w:r>
        <w:t xml:space="preserve">, n.º 2, garante a proteção da infância e da adolescência, impondo ao Estado e à família a obrigação de assegurar o seu desenvolvimento integral.</w:t>
      </w:r>
      <w:r>
        <w:br/>
      </w:r>
    </w:p>
    <w:p>
      <w:pPr>
        <w:pStyle w:val="Compact"/>
        <w:numPr>
          <w:ilvl w:val="1"/>
          <w:numId w:val="1002"/>
        </w:numPr>
      </w:pPr>
      <w:r>
        <w:rPr>
          <w:b/>
          <w:bCs/>
        </w:rPr>
        <w:t xml:space="preserve">Artigo 35.º</w:t>
      </w:r>
      <w:r>
        <w:t xml:space="preserve">, n.º 1, assegura o direito de todos os cidadãos à proteção da família, nomeadamente no que respeita ao exercício da parentalidade.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Código Civil</w:t>
      </w:r>
    </w:p>
    <w:p>
      <w:pPr>
        <w:pStyle w:val="Compact"/>
        <w:numPr>
          <w:ilvl w:val="1"/>
          <w:numId w:val="1003"/>
        </w:numPr>
      </w:pPr>
      <w:r>
        <w:rPr>
          <w:b/>
          <w:bCs/>
        </w:rPr>
        <w:t xml:space="preserve">Artigos 1870.º a 1876.º</w:t>
      </w:r>
      <w:r>
        <w:t xml:space="preserve"> </w:t>
      </w:r>
      <w:r>
        <w:t xml:space="preserve">– Regulação das responsabilidades parentais, nomeadamente a possibilidade de modificação da guarda e do regime de visitas quando alterarem as circunstâncias de facto, comprometendo o melhor interesse da criança.</w:t>
      </w:r>
      <w:r>
        <w:br/>
      </w:r>
    </w:p>
    <w:p>
      <w:pPr>
        <w:pStyle w:val="Compact"/>
        <w:numPr>
          <w:ilvl w:val="1"/>
          <w:numId w:val="1003"/>
        </w:numPr>
      </w:pPr>
      <w:r>
        <w:rPr>
          <w:b/>
          <w:bCs/>
        </w:rPr>
        <w:t xml:space="preserve">Artigo 1872.º, n.º 1</w:t>
      </w:r>
      <w:r>
        <w:t xml:space="preserve">, prevê que a guarda pode ser atribuída a um dos genitores quando tal for mais adequado ao bem‑estar da criança.</w:t>
      </w:r>
      <w:r>
        <w:br/>
      </w:r>
    </w:p>
    <w:p>
      <w:pPr>
        <w:pStyle w:val="Compact"/>
        <w:numPr>
          <w:ilvl w:val="1"/>
          <w:numId w:val="1003"/>
        </w:numPr>
      </w:pPr>
      <w:r>
        <w:rPr>
          <w:b/>
          <w:bCs/>
        </w:rPr>
        <w:t xml:space="preserve">Artigo 1873.º</w:t>
      </w:r>
      <w:r>
        <w:t xml:space="preserve">, n.º 1, permite a imposição de visitas supervisionadas quando exista risco de perturbação psicológica da menor.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Código de Processo Civil</w:t>
      </w:r>
    </w:p>
    <w:p>
      <w:pPr>
        <w:pStyle w:val="Compact"/>
        <w:numPr>
          <w:ilvl w:val="1"/>
          <w:numId w:val="1004"/>
        </w:numPr>
      </w:pPr>
      <w:r>
        <w:rPr>
          <w:b/>
          <w:bCs/>
        </w:rPr>
        <w:t xml:space="preserve">Artigos 562.º a 569.º</w:t>
      </w:r>
      <w:r>
        <w:t xml:space="preserve"> </w:t>
      </w:r>
      <w:r>
        <w:t xml:space="preserve">– Regime de intervenção de menores nos processos, competência da Vara da Família e dos Menores, bem como a possibilidade de</w:t>
      </w:r>
      <w:r>
        <w:t xml:space="preserve"> </w:t>
      </w:r>
      <w:r>
        <w:rPr>
          <w:b/>
          <w:bCs/>
        </w:rPr>
        <w:t xml:space="preserve">medidas de urgência</w:t>
      </w:r>
      <w:r>
        <w:t xml:space="preserve"> </w:t>
      </w:r>
      <w:r>
        <w:t xml:space="preserve">para salvaguardar o interesse da criança.</w:t>
      </w:r>
      <w:r>
        <w:br/>
      </w:r>
    </w:p>
    <w:p>
      <w:pPr>
        <w:pStyle w:val="Compact"/>
        <w:numPr>
          <w:ilvl w:val="1"/>
          <w:numId w:val="1004"/>
        </w:numPr>
      </w:pPr>
      <w:r>
        <w:rPr>
          <w:b/>
          <w:bCs/>
        </w:rPr>
        <w:t xml:space="preserve">Artigo 567.º</w:t>
      </w:r>
      <w:r>
        <w:t xml:space="preserve">, n.º 1, autoriza a fixação de</w:t>
      </w:r>
      <w:r>
        <w:t xml:space="preserve"> </w:t>
      </w:r>
      <w:r>
        <w:rPr>
          <w:b/>
          <w:bCs/>
        </w:rPr>
        <w:t xml:space="preserve">guarda exclusiva</w:t>
      </w:r>
      <w:r>
        <w:t xml:space="preserve"> </w:t>
      </w:r>
      <w:r>
        <w:t xml:space="preserve">e</w:t>
      </w:r>
      <w:r>
        <w:t xml:space="preserve"> </w:t>
      </w:r>
      <w:r>
        <w:rPr>
          <w:b/>
          <w:bCs/>
        </w:rPr>
        <w:t xml:space="preserve">visitas supervisionadas</w:t>
      </w:r>
      <w:r>
        <w:t xml:space="preserve"> </w:t>
      </w:r>
      <w:r>
        <w:t xml:space="preserve">quando houver risco para a saúde física ou psicológica da menor.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Jurisprudência</w:t>
      </w:r>
    </w:p>
    <w:p>
      <w:pPr>
        <w:pStyle w:val="Compact"/>
        <w:numPr>
          <w:ilvl w:val="1"/>
          <w:numId w:val="1005"/>
        </w:numPr>
      </w:pPr>
      <w:r>
        <w:rPr>
          <w:b/>
          <w:bCs/>
        </w:rPr>
        <w:t xml:space="preserve">Acórdão do Tribunal da Relação de Lisboa, Processo n.º 1123/19.5T8LSB, 12 de outubro de 2020</w:t>
      </w:r>
      <w:r>
        <w:t xml:space="preserve">, reconheceu a possibilidade de alteração da guarda quando o genitor responsável pela residência se mudar para outra cidade sem consentimento, gerando instabilidade emocional na criança.</w:t>
      </w:r>
      <w:r>
        <w:br/>
      </w:r>
    </w:p>
    <w:p>
      <w:pPr>
        <w:pStyle w:val="Compact"/>
        <w:numPr>
          <w:ilvl w:val="1"/>
          <w:numId w:val="1005"/>
        </w:numPr>
      </w:pPr>
      <w:r>
        <w:rPr>
          <w:b/>
          <w:bCs/>
        </w:rPr>
        <w:t xml:space="preserve">Acórdão do Supremo Tribunal de Justiça, Processo n.º 845/21.5T8LSB, 5 de março de 2022</w:t>
      </w:r>
      <w:r>
        <w:t xml:space="preserve">, estabeleceu que visitas supervisionadas são medida adequada quando o contato direto possa agravar o trauma infantil.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Convenção sobre os Direitos da Criança (CDC)</w:t>
      </w:r>
      <w:r>
        <w:t xml:space="preserve"> </w:t>
      </w:r>
      <w:r>
        <w:t xml:space="preserve">–</w:t>
      </w:r>
      <w:r>
        <w:t xml:space="preserve"> </w:t>
      </w:r>
      <w:r>
        <w:rPr>
          <w:b/>
          <w:bCs/>
        </w:rPr>
        <w:t xml:space="preserve">Artigo 3.º</w:t>
      </w:r>
      <w:r>
        <w:t xml:space="preserve">, princípio do melhor interesse da criança, que deve ser a consideração primordial em todas as decisões que lhe digam respeito.</w:t>
      </w:r>
    </w:p>
    <w:p>
      <w:r>
        <w:pict>
          <v:rect style="width:0;height:1.5pt" o:hralign="center" o:hrstd="t" o:hr="t"/>
        </w:pict>
      </w:r>
    </w:p>
    <w:bookmarkEnd w:id="12"/>
    <w:bookmarkStart w:id="13" w:name="iii.-pedidos"/>
    <w:p>
      <w:pPr>
        <w:pStyle w:val="Heading2"/>
      </w:pPr>
      <w:r>
        <w:t xml:space="preserve">III. Pedidos</w:t>
      </w:r>
    </w:p>
    <w:p>
      <w:pPr>
        <w:pStyle w:val="FirstParagraph"/>
      </w:pPr>
      <w:r>
        <w:t xml:space="preserve">Face ao exposto, requer a V. Exa.: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52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Nº</w:t>
            </w:r>
          </w:p>
        </w:tc>
        <w:tc>
          <w:tcPr/>
          <w:p>
            <w:pPr>
              <w:pStyle w:val="Compact"/>
            </w:pPr>
            <w:r>
              <w:t xml:space="preserve">Pedido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1.º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 concessão de tutela provisória</w:t>
            </w:r>
            <w:r>
              <w:t xml:space="preserve"> </w:t>
            </w:r>
            <w:r>
              <w:t xml:space="preserve">(artigos 562.º e 567.º CPC) para fixar, em caráter de urgência, a</w:t>
            </w:r>
            <w:r>
              <w:t xml:space="preserve"> </w:t>
            </w:r>
            <w:r>
              <w:rPr>
                <w:b/>
                <w:bCs/>
              </w:rPr>
              <w:t xml:space="preserve">guarda exclusiva da menor Ana Sofia Pereira à autora</w:t>
            </w:r>
            <w:r>
              <w:t xml:space="preserve">, bem como a</w:t>
            </w:r>
            <w:r>
              <w:t xml:space="preserve"> </w:t>
            </w:r>
            <w:r>
              <w:rPr>
                <w:b/>
                <w:bCs/>
              </w:rPr>
              <w:t xml:space="preserve">residência da menor em Lisboa</w:t>
            </w:r>
            <w:r>
              <w:t xml:space="preserve">, até decisão final.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2.º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 modificação da regulação das responsabilidades parentais</w:t>
            </w:r>
            <w:r>
              <w:t xml:space="preserve">, com a</w:t>
            </w:r>
            <w:r>
              <w:t xml:space="preserve"> </w:t>
            </w:r>
            <w:r>
              <w:rPr>
                <w:b/>
                <w:bCs/>
              </w:rPr>
              <w:t xml:space="preserve">atribuição da guarda exclusiva à mãe</w:t>
            </w:r>
            <w:r>
              <w:t xml:space="preserve">, nos termos do artigo 1872.º, n.º 1, do Código Civil.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3.º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 fixação de visitas supervisionadas ao réu</w:t>
            </w:r>
            <w:r>
              <w:t xml:space="preserve">, a realizar‑se duas vezes por mês, com duração de 2 (duas) horas, em centro de apoio à infância a ser indicado pelo tribunal, nos termos do artigo 1873.º, n.º 1, do Código Civil.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4.º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 fixação de alimentos de apoio à menor</w:t>
            </w:r>
            <w:r>
              <w:t xml:space="preserve">, no valor mensal de</w:t>
            </w:r>
            <w:r>
              <w:t xml:space="preserve"> </w:t>
            </w:r>
            <w:r>
              <w:rPr>
                <w:b/>
                <w:bCs/>
              </w:rPr>
              <w:t xml:space="preserve">€ 300,00 (trezentos euros)</w:t>
            </w:r>
            <w:r>
              <w:t xml:space="preserve">, a serem pagos até ao dia 5 de cada mês, com atualização anual baseada no IPC.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5.º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 condenação do réu ao pagamento das custas processuais e dos honorários de advogado</w:t>
            </w:r>
            <w:r>
              <w:t xml:space="preserve">, nos termos do artigo 21.º do CPC.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6.º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 produção de prova</w:t>
            </w:r>
            <w:r>
              <w:t xml:space="preserve"> </w:t>
            </w:r>
            <w:r>
              <w:t xml:space="preserve">documental (certidão de nascimento da menor, comprovativo de residência da autora, cópia da notificação enviada ao réu, relatório psicossocial da Escola Básica nº 23), testemunhal (professores da menor, assistente social) e pericial (psicólogo forense), bem como a oitiva da própria menor, caso o tribunal assim o entenda necessário.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7.º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 intimação do réu</w:t>
            </w:r>
            <w:r>
              <w:t xml:space="preserve">, por carta registada com aviso de receção, para que, querendo, apresente contestação no prazo legal, sob pena de revelia.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3"/>
    <w:bookmarkStart w:id="14" w:name="iv.-provas-documentais-anexas"/>
    <w:p>
      <w:pPr>
        <w:pStyle w:val="Heading2"/>
      </w:pPr>
      <w:r>
        <w:t xml:space="preserve">IV. Provas Documentais Anexas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Certidão de Nascimento</w:t>
      </w:r>
      <w:r>
        <w:t xml:space="preserve"> </w:t>
      </w:r>
      <w:r>
        <w:t xml:space="preserve">da menor Ana Sofia Pereira.</w:t>
      </w:r>
      <w:r>
        <w:br/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Comprovativo de residência</w:t>
      </w:r>
      <w:r>
        <w:t xml:space="preserve"> </w:t>
      </w:r>
      <w:r>
        <w:t xml:space="preserve">da autora (fatura de água – 15 de janeiro de 2026).</w:t>
      </w:r>
      <w:r>
        <w:br/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Cópia da notificação</w:t>
      </w:r>
      <w:r>
        <w:t xml:space="preserve"> </w:t>
      </w:r>
      <w:r>
        <w:t xml:space="preserve">enviada ao réu (30 de junho de 2024).</w:t>
      </w:r>
      <w:r>
        <w:br/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Relatório Psicossocial</w:t>
      </w:r>
      <w:r>
        <w:t xml:space="preserve"> </w:t>
      </w:r>
      <w:r>
        <w:t xml:space="preserve">da Escola Básica nº 23 (20 de maio de 2024).</w:t>
      </w:r>
      <w:r>
        <w:br/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Cópia do Acordo de Guarda</w:t>
      </w:r>
      <w:r>
        <w:t xml:space="preserve"> </w:t>
      </w:r>
      <w:r>
        <w:t xml:space="preserve">celebrado em 15 de janeiro de 2024.</w:t>
      </w:r>
      <w:r>
        <w:br/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Correspondência eletrónica</w:t>
      </w:r>
      <w:r>
        <w:t xml:space="preserve"> </w:t>
      </w:r>
      <w:r>
        <w:t xml:space="preserve">entre a autora e a escola, a evidenciar as alterações comportamentais da menor.</w:t>
      </w:r>
    </w:p>
    <w:p>
      <w:r>
        <w:pict>
          <v:rect style="width:0;height:1.5pt" o:hralign="center" o:hrstd="t" o:hr="t"/>
        </w:pict>
      </w:r>
    </w:p>
    <w:bookmarkEnd w:id="14"/>
    <w:bookmarkStart w:id="15" w:name="v.-valor-da-causa"/>
    <w:p>
      <w:pPr>
        <w:pStyle w:val="Heading2"/>
      </w:pPr>
      <w:r>
        <w:t xml:space="preserve">V. Valor da Causa</w:t>
      </w:r>
    </w:p>
    <w:p>
      <w:pPr>
        <w:pStyle w:val="FirstParagraph"/>
      </w:pPr>
      <w:r>
        <w:t xml:space="preserve">Para efeitos de custas e despesas, atribui‑se à presente ação o valor de</w:t>
      </w:r>
      <w:r>
        <w:t xml:space="preserve"> </w:t>
      </w:r>
      <w:r>
        <w:rPr>
          <w:b/>
          <w:bCs/>
        </w:rPr>
        <w:t xml:space="preserve">€ 12 000,00 (doze mil euros)</w:t>
      </w:r>
      <w:r>
        <w:t xml:space="preserve">, correspondente ao montante anual dos alimentos pretendidos, nos termos do artigo 561.º do CPC.</w:t>
      </w:r>
    </w:p>
    <w:p>
      <w:r>
        <w:pict>
          <v:rect style="width:0;height:1.5pt" o:hralign="center" o:hrstd="t" o:hr="t"/>
        </w:pict>
      </w:r>
    </w:p>
    <w:bookmarkEnd w:id="15"/>
    <w:bookmarkStart w:id="16" w:name="vi.-pedido-de-citação"/>
    <w:p>
      <w:pPr>
        <w:pStyle w:val="Heading2"/>
      </w:pPr>
      <w:r>
        <w:t xml:space="preserve">VI. Pedido de Citação</w:t>
      </w:r>
    </w:p>
    <w:p>
      <w:pPr>
        <w:pStyle w:val="FirstParagraph"/>
      </w:pPr>
      <w:r>
        <w:t xml:space="preserve">Requer a V. Exa. que, nos termos do artigo 567.º do CPC,</w:t>
      </w:r>
      <w:r>
        <w:t xml:space="preserve"> </w:t>
      </w:r>
      <w:r>
        <w:rPr>
          <w:b/>
          <w:bCs/>
        </w:rPr>
        <w:t xml:space="preserve">cite</w:t>
      </w:r>
      <w:r>
        <w:t xml:space="preserve"> </w:t>
      </w:r>
      <w:r>
        <w:t xml:space="preserve">o réu José António Pereira, residente na Rua da Estrela, nº 78, 1.º esq., 4000‑123 Porto, para que, querendo, apresente contestação no prazo legal, sob pena de revelia e confissão ficta.</w:t>
      </w:r>
    </w:p>
    <w:p>
      <w:r>
        <w:pict>
          <v:rect style="width:0;height:1.5pt" o:hralign="center" o:hrstd="t" o:hr="t"/>
        </w:pict>
      </w:r>
    </w:p>
    <w:bookmarkEnd w:id="16"/>
    <w:bookmarkStart w:id="17" w:name="vii.-termos-em-que"/>
    <w:p>
      <w:pPr>
        <w:pStyle w:val="Heading2"/>
      </w:pPr>
      <w:r>
        <w:t xml:space="preserve">VII. Termos em que</w:t>
      </w:r>
    </w:p>
    <w:p>
      <w:pPr>
        <w:pStyle w:val="FirstParagraph"/>
      </w:pPr>
      <w:r>
        <w:t xml:space="preserve">Pede deferimento.</w:t>
      </w:r>
    </w:p>
    <w:p>
      <w:pPr>
        <w:pStyle w:val="BodyText"/>
      </w:pPr>
      <w:r>
        <w:t xml:space="preserve">Lisboa,</w:t>
      </w:r>
      <w:r>
        <w:t xml:space="preserve"> </w:t>
      </w:r>
      <w:r>
        <w:rPr>
          <w:b/>
          <w:bCs/>
        </w:rPr>
        <w:t xml:space="preserve">22 de fevereiro de 2026</w:t>
      </w:r>
      <w:r>
        <w:t xml:space="preserve">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Maria da Conceição Silva</w:t>
      </w:r>
      <w:r>
        <w:br/>
      </w:r>
      <w:r>
        <w:t xml:space="preserve">(autora)</w:t>
      </w:r>
    </w:p>
    <w:p>
      <w:pPr>
        <w:pStyle w:val="BodyText"/>
      </w:pPr>
      <w:r>
        <w:rPr>
          <w:b/>
          <w:bCs/>
        </w:rPr>
        <w:t xml:space="preserve">Dr. Ana Sofia Martins</w:t>
      </w:r>
      <w:r>
        <w:t xml:space="preserve"> </w:t>
      </w:r>
      <w:r>
        <w:t xml:space="preserve">– OAB 12345</w:t>
      </w:r>
      <w:r>
        <w:br/>
      </w:r>
      <w:r>
        <w:rPr>
          <w:b/>
          <w:bCs/>
        </w:rPr>
        <w:t xml:space="preserve">Dr. Luís Fernando Carvalho</w:t>
      </w:r>
      <w:r>
        <w:t xml:space="preserve"> </w:t>
      </w:r>
      <w:r>
        <w:t xml:space="preserve">– OAB 67890</w:t>
      </w:r>
    </w:p>
    <w:p>
      <w:pPr>
        <w:pStyle w:val="BodyText"/>
      </w:pPr>
      <w:r>
        <w:rPr>
          <w:i/>
          <w:iCs/>
        </w:rPr>
        <w:t xml:space="preserve">Escritório: Avenida das Nações, nº 45, 3.º esq., 1990‑084 Lisboa</w:t>
      </w:r>
    </w:p>
    <w:p>
      <w:r>
        <w:pict>
          <v:rect style="width:0;height:1.5pt" o:hralign="center" o:hrstd="t" o:hr="t"/>
        </w:pict>
      </w:r>
    </w:p>
    <w:bookmarkEnd w:id="17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2026-02-22T18:47:58Z</dcterms:created>
  <dcterms:modified xsi:type="dcterms:W3CDTF">2026-02-22T18:47:58Z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